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ED46CF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ED46CF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DF2B55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D60E4E" w:rsidRPr="00DB34EE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Default="004131A8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667886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667886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595EAF">
        <w:rPr>
          <w:rFonts w:ascii="Times New Roman" w:hAnsi="Times New Roman"/>
          <w:sz w:val="24"/>
          <w:szCs w:val="24"/>
          <w:lang w:val="bg-BG"/>
        </w:rPr>
        <w:t>публично състезание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66788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5EAF" w:rsidRPr="000E23FC">
        <w:rPr>
          <w:rFonts w:ascii="Times New Roman" w:hAnsi="Times New Roman"/>
          <w:sz w:val="24"/>
          <w:szCs w:val="24"/>
        </w:rPr>
        <w:t>„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Инженеринг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авторски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надзор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работи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(СМР) –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спортни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площадки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пешеходни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алеи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пътни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подходи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паркинг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благоустрояване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озеленяване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парковото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пространство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т.ч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95EAF" w:rsidRPr="000E23FC">
        <w:rPr>
          <w:rFonts w:ascii="Times New Roman" w:hAnsi="Times New Roman"/>
          <w:sz w:val="24"/>
          <w:szCs w:val="24"/>
        </w:rPr>
        <w:t>изграждане</w:t>
      </w:r>
      <w:proofErr w:type="spellEnd"/>
      <w:proofErr w:type="gram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външно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осветление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поливна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система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част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от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откритите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площи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Лечебно-възстановителна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база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събрание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95EAF" w:rsidRPr="000E23FC">
        <w:rPr>
          <w:rFonts w:ascii="Times New Roman" w:hAnsi="Times New Roman"/>
          <w:sz w:val="24"/>
          <w:szCs w:val="24"/>
        </w:rPr>
        <w:t>Велинград</w:t>
      </w:r>
      <w:proofErr w:type="spellEnd"/>
      <w:r w:rsidR="00595EAF" w:rsidRPr="000E23FC">
        <w:rPr>
          <w:rFonts w:ascii="Times New Roman" w:hAnsi="Times New Roman"/>
          <w:sz w:val="24"/>
          <w:szCs w:val="24"/>
        </w:rPr>
        <w:t>”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Default="00D60E4E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I.Б,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 xml:space="preserve">(е)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технически проект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спортни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площадки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пешеходни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алеи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пътни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подходи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паркинг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благоустрояване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озеленяване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парковото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пространство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т.ч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изграждане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външно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осветление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поливна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система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част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от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откритите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площи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Лечебно-възстановителна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база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събрание</w:t>
      </w:r>
      <w:proofErr w:type="spellEnd"/>
      <w:r w:rsidR="003650F1" w:rsidRPr="000E23F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650F1" w:rsidRPr="000E23FC">
        <w:rPr>
          <w:rFonts w:ascii="Times New Roman" w:hAnsi="Times New Roman"/>
          <w:sz w:val="24"/>
          <w:szCs w:val="24"/>
        </w:rPr>
        <w:t>Велинград</w:t>
      </w:r>
      <w:proofErr w:type="spellEnd"/>
      <w:r w:rsidRPr="003B3CF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 на възложителя – Приложение № 3 от документацията за участие и съобразно условията, поставени в раздел І.Б от документацията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Архитектурна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Конструктивна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Водоснабдяване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r w:rsidRPr="003650F1">
        <w:rPr>
          <w:rFonts w:ascii="Times New Roman" w:hAnsi="Times New Roman" w:hint="eastAsia"/>
          <w:bCs/>
          <w:sz w:val="24"/>
          <w:szCs w:val="24"/>
        </w:rPr>
        <w:t>и</w:t>
      </w:r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Канализация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lastRenderedPageBreak/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Електрическа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Геодезическа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Паркоустройство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r w:rsidRPr="003650F1">
        <w:rPr>
          <w:rFonts w:ascii="Times New Roman" w:hAnsi="Times New Roman" w:hint="eastAsia"/>
          <w:bCs/>
          <w:sz w:val="24"/>
          <w:szCs w:val="24"/>
        </w:rPr>
        <w:t>и</w:t>
      </w:r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благоустройство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Проект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за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организация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r w:rsidRPr="003650F1">
        <w:rPr>
          <w:rFonts w:ascii="Times New Roman" w:hAnsi="Times New Roman" w:hint="eastAsia"/>
          <w:bCs/>
          <w:sz w:val="24"/>
          <w:szCs w:val="24"/>
        </w:rPr>
        <w:t>и</w:t>
      </w:r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изпълнение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строителството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Пожарна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безопасност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План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по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безопасност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r w:rsidRPr="003650F1">
        <w:rPr>
          <w:rFonts w:ascii="Times New Roman" w:hAnsi="Times New Roman" w:hint="eastAsia"/>
          <w:bCs/>
          <w:sz w:val="24"/>
          <w:szCs w:val="24"/>
        </w:rPr>
        <w:t>и</w:t>
      </w:r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здраве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План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за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управление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строителните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отпадъци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Обща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обяснителна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записка</w:t>
      </w:r>
      <w:proofErr w:type="spellEnd"/>
    </w:p>
    <w:p w:rsidR="003650F1" w:rsidRP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Сметна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документация</w:t>
      </w:r>
      <w:proofErr w:type="spellEnd"/>
    </w:p>
    <w:p w:rsidR="00846A5E" w:rsidRDefault="003650F1" w:rsidP="003650F1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50F1">
        <w:rPr>
          <w:rFonts w:ascii="Times New Roman" w:hAnsi="Times New Roman" w:hint="eastAsia"/>
          <w:bCs/>
          <w:sz w:val="24"/>
          <w:szCs w:val="24"/>
        </w:rPr>
        <w:t>•</w:t>
      </w:r>
      <w:r w:rsidRPr="003650F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Други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части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по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преценка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на</w:t>
      </w:r>
      <w:proofErr w:type="spellEnd"/>
      <w:r w:rsidRPr="00365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50F1">
        <w:rPr>
          <w:rFonts w:ascii="Times New Roman" w:hAnsi="Times New Roman" w:hint="eastAsia"/>
          <w:bCs/>
          <w:sz w:val="24"/>
          <w:szCs w:val="24"/>
        </w:rPr>
        <w:t>проектанта</w:t>
      </w:r>
      <w:proofErr w:type="spellEnd"/>
    </w:p>
    <w:p w:rsidR="00523B38" w:rsidRPr="00667886" w:rsidRDefault="008B03AA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2.2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(е)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Pr="000E23FC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съществуващите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спортни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площадки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23FC">
        <w:rPr>
          <w:rFonts w:ascii="Times New Roman" w:hAnsi="Times New Roman"/>
          <w:sz w:val="24"/>
          <w:szCs w:val="24"/>
        </w:rPr>
        <w:t>пешеходни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алеи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23FC">
        <w:rPr>
          <w:rFonts w:ascii="Times New Roman" w:hAnsi="Times New Roman"/>
          <w:sz w:val="24"/>
          <w:szCs w:val="24"/>
        </w:rPr>
        <w:t>пътни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подходи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3FC">
        <w:rPr>
          <w:rFonts w:ascii="Times New Roman" w:hAnsi="Times New Roman"/>
          <w:sz w:val="24"/>
          <w:szCs w:val="24"/>
        </w:rPr>
        <w:t>паркинг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3FC">
        <w:rPr>
          <w:rFonts w:ascii="Times New Roman" w:hAnsi="Times New Roman"/>
          <w:sz w:val="24"/>
          <w:szCs w:val="24"/>
        </w:rPr>
        <w:t>благоустрояване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3FC">
        <w:rPr>
          <w:rFonts w:ascii="Times New Roman" w:hAnsi="Times New Roman"/>
          <w:sz w:val="24"/>
          <w:szCs w:val="24"/>
        </w:rPr>
        <w:t>озеленяване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парковото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пространство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0E23FC">
        <w:rPr>
          <w:rFonts w:ascii="Times New Roman" w:hAnsi="Times New Roman"/>
          <w:sz w:val="24"/>
          <w:szCs w:val="24"/>
        </w:rPr>
        <w:t>т.ч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E23FC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външно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осветление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3FC">
        <w:rPr>
          <w:rFonts w:ascii="Times New Roman" w:hAnsi="Times New Roman"/>
          <w:sz w:val="24"/>
          <w:szCs w:val="24"/>
        </w:rPr>
        <w:t>поливна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система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част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от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откритите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площи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Лечебно-възстановителна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база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3FC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0E23F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E23FC">
        <w:rPr>
          <w:rFonts w:ascii="Times New Roman" w:hAnsi="Times New Roman"/>
          <w:sz w:val="24"/>
          <w:szCs w:val="24"/>
        </w:rPr>
        <w:t>Велинград</w:t>
      </w:r>
      <w:proofErr w:type="spellEnd"/>
      <w:r w:rsidRPr="003B3CF7">
        <w:rPr>
          <w:rFonts w:ascii="Times New Roman" w:hAnsi="Times New Roman"/>
          <w:sz w:val="24"/>
          <w:szCs w:val="24"/>
        </w:rPr>
        <w:t>”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I.Б 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>от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E97492" w:rsidRPr="00E97492" w:rsidRDefault="00E97492" w:rsidP="00E97492">
      <w:pPr>
        <w:spacing w:before="60" w:after="60" w:line="360" w:lineRule="auto"/>
        <w:ind w:firstLine="709"/>
        <w:contextualSpacing/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</w:pPr>
      <w:r w:rsidRPr="00E97492">
        <w:rPr>
          <w:rFonts w:ascii="Times New Roman" w:hAnsi="Times New Roman"/>
          <w:i/>
          <w:sz w:val="20"/>
          <w:szCs w:val="20"/>
          <w:lang w:val="bg-BG"/>
        </w:rPr>
        <w:t>(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Стратегиите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трябва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да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са разработени в съответствие с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изискванията на възложителя, посочени в техническата документация (заданието за проектиране и приложенията към него),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да отговарят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на съществуващите технически изисквания и стандарти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,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да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са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съобразен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и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 предмета на поръчката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и да включват необходимата информация, която да позволява оценяване съгласно методиката за оценка, посочена в раздел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>IV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.Б на документация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та за участие</w:t>
      </w:r>
      <w:r w:rsidRPr="00E97492">
        <w:rPr>
          <w:rFonts w:ascii="Times New Roman" w:hAnsi="Times New Roman"/>
          <w:i/>
          <w:sz w:val="20"/>
          <w:szCs w:val="20"/>
          <w:lang w:val="bg-BG"/>
        </w:rPr>
        <w:t>).</w:t>
      </w:r>
    </w:p>
    <w:p w:rsidR="00523B38" w:rsidRDefault="008B03AA" w:rsidP="008864BA">
      <w:pPr>
        <w:spacing w:before="240"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>
        <w:rPr>
          <w:rFonts w:ascii="Times New Roman" w:hAnsi="Times New Roman"/>
          <w:sz w:val="24"/>
          <w:szCs w:val="24"/>
          <w:lang w:val="ru-RU"/>
        </w:rPr>
        <w:t>Предлагам</w:t>
      </w:r>
      <w:proofErr w:type="spellEnd"/>
      <w:r w:rsidR="00523B38">
        <w:rPr>
          <w:rFonts w:ascii="Times New Roman" w:hAnsi="Times New Roman"/>
          <w:sz w:val="24"/>
          <w:szCs w:val="24"/>
          <w:lang w:val="ru-RU"/>
        </w:rPr>
        <w:t xml:space="preserve">(е) да </w:t>
      </w:r>
      <w:r w:rsidR="00523B38">
        <w:rPr>
          <w:rFonts w:ascii="Times New Roman" w:hAnsi="Times New Roman"/>
          <w:sz w:val="24"/>
          <w:szCs w:val="24"/>
          <w:lang w:val="bg-BG"/>
        </w:rPr>
        <w:t xml:space="preserve">упражнявам(е) авторски надзор на строежа през целия период на строителството съгласно действащото законодателство и съобразно условията, поставени в раздел І.Б. от документацията </w:t>
      </w:r>
      <w:proofErr w:type="spellStart"/>
      <w:r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523B38" w:rsidRDefault="00523B38" w:rsidP="008B03AA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0F72E6" w:rsidRPr="00667886" w:rsidRDefault="00C65F24" w:rsidP="00523B38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67886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proofErr w:type="spellStart"/>
      <w:r w:rsidR="008B03AA">
        <w:rPr>
          <w:rFonts w:ascii="Times New Roman" w:hAnsi="Times New Roman"/>
          <w:sz w:val="24"/>
          <w:szCs w:val="24"/>
        </w:rPr>
        <w:t>от</w:t>
      </w:r>
      <w:proofErr w:type="spellEnd"/>
      <w:r w:rsidR="008B03AA">
        <w:rPr>
          <w:rFonts w:ascii="Times New Roman" w:hAnsi="Times New Roman"/>
          <w:sz w:val="24"/>
          <w:szCs w:val="24"/>
        </w:rPr>
        <w:t xml:space="preserve"> </w:t>
      </w:r>
      <w:r w:rsidR="008B03AA">
        <w:rPr>
          <w:rFonts w:ascii="Times New Roman" w:hAnsi="Times New Roman"/>
          <w:sz w:val="24"/>
          <w:szCs w:val="24"/>
          <w:lang w:val="bg-BG"/>
        </w:rPr>
        <w:t>9</w:t>
      </w:r>
      <w:r w:rsidR="00DD5F13" w:rsidRPr="005562ED">
        <w:rPr>
          <w:rFonts w:ascii="Times New Roman" w:hAnsi="Times New Roman"/>
          <w:sz w:val="24"/>
          <w:szCs w:val="24"/>
        </w:rPr>
        <w:t>0 (</w:t>
      </w:r>
      <w:r w:rsidR="008B03AA">
        <w:rPr>
          <w:rFonts w:ascii="Times New Roman" w:hAnsi="Times New Roman"/>
          <w:sz w:val="24"/>
          <w:szCs w:val="24"/>
          <w:lang w:val="bg-BG"/>
        </w:rPr>
        <w:t>деветдесет</w:t>
      </w:r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>
        <w:rPr>
          <w:rFonts w:ascii="Times New Roman" w:hAnsi="Times New Roman"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 xml:space="preserve">(не може да бъде </w:t>
      </w:r>
      <w:r w:rsidR="005E6F8B" w:rsidRPr="005562ED">
        <w:t xml:space="preserve">по-дълъг от </w:t>
      </w:r>
      <w:r w:rsidR="0007347C">
        <w:rPr>
          <w:lang w:val="ru-RU"/>
        </w:rPr>
        <w:t>18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07347C">
        <w:t>сто и осемдесет</w:t>
      </w:r>
      <w:r w:rsidR="005E6F8B" w:rsidRPr="005562ED">
        <w:t>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4131A8" w:rsidRPr="00667886" w:rsidRDefault="00DF2B55" w:rsidP="007C25A8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5E6F8B" w:rsidRPr="005562ED">
        <w:t>срока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5E6F8B" w:rsidRPr="005562ED">
        <w:t xml:space="preserve">до </w:t>
      </w:r>
      <w:r w:rsidR="0007347C">
        <w:rPr>
          <w:lang w:val="ru-RU"/>
        </w:rPr>
        <w:t>18</w:t>
      </w:r>
      <w:r w:rsidR="005E6F8B" w:rsidRPr="005562ED">
        <w:rPr>
          <w:lang w:val="ru-RU"/>
        </w:rPr>
        <w:t>0</w:t>
      </w:r>
      <w:r w:rsidR="005E6F8B" w:rsidRPr="005562ED">
        <w:t xml:space="preserve"> (четиристотин и петдесет) календарни дни, считано от датата на съставяне на протокол за </w:t>
      </w:r>
      <w:r w:rsidR="005E6F8B" w:rsidRPr="005562ED">
        <w:lastRenderedPageBreak/>
        <w:t>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5D6068" w:rsidRPr="005D6068" w:rsidRDefault="00DF2B55" w:rsidP="005D6068">
      <w:pPr>
        <w:spacing w:before="240" w:line="36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294108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294108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294108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94108">
        <w:rPr>
          <w:rFonts w:ascii="Times New Roman" w:hAnsi="Times New Roman"/>
          <w:sz w:val="24"/>
          <w:szCs w:val="28"/>
          <w:lang w:val="bg-BG"/>
        </w:rPr>
        <w:t xml:space="preserve">на </w:t>
      </w:r>
      <w:r w:rsidR="00A868D6" w:rsidRPr="00294108">
        <w:rPr>
          <w:rFonts w:ascii="Times New Roman" w:hAnsi="Times New Roman"/>
          <w:sz w:val="24"/>
          <w:szCs w:val="28"/>
          <w:lang w:val="bg-BG"/>
        </w:rPr>
        <w:t>обществената поръчка</w:t>
      </w:r>
      <w:r w:rsidR="002C720C" w:rsidRPr="00294108">
        <w:rPr>
          <w:rFonts w:ascii="Times New Roman" w:hAnsi="Times New Roman"/>
          <w:sz w:val="24"/>
          <w:szCs w:val="28"/>
          <w:lang w:val="bg-BG"/>
        </w:rPr>
        <w:t xml:space="preserve">: </w:t>
      </w:r>
      <w:r w:rsidR="005D6068" w:rsidRPr="00294108">
        <w:rPr>
          <w:rFonts w:ascii="Times New Roman" w:hAnsi="Times New Roman"/>
          <w:sz w:val="24"/>
          <w:szCs w:val="24"/>
          <w:lang w:val="bg-BG"/>
        </w:rPr>
        <w:t>дворното място с площ 54 658 кв. м. на Лечебно-възстановителна база на Народното събрание в гр. Велинград, представляващ</w:t>
      </w:r>
      <w:r w:rsidR="003768D9" w:rsidRPr="00294108">
        <w:rPr>
          <w:rFonts w:ascii="Times New Roman" w:hAnsi="Times New Roman"/>
          <w:sz w:val="24"/>
          <w:szCs w:val="24"/>
          <w:lang w:val="bg-BG"/>
        </w:rPr>
        <w:t>о</w:t>
      </w:r>
      <w:r w:rsidR="005D6068" w:rsidRPr="00294108">
        <w:rPr>
          <w:rFonts w:ascii="Times New Roman" w:hAnsi="Times New Roman"/>
          <w:sz w:val="24"/>
          <w:szCs w:val="24"/>
          <w:lang w:val="bg-BG"/>
        </w:rPr>
        <w:t xml:space="preserve"> имот № 7059, УПИ VII, кв. 207, по плана на гр. Велинград, с административен адрес бул. „Вела Пеева“ № 35.</w:t>
      </w:r>
    </w:p>
    <w:p w:rsidR="005E6F8B" w:rsidRDefault="00DF2B55" w:rsidP="005D606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5</w:t>
      </w:r>
      <w:r w:rsidR="00D02D27" w:rsidRPr="00667886">
        <w:rPr>
          <w:rFonts w:ascii="Times New Roman" w:hAnsi="Times New Roman"/>
          <w:sz w:val="24"/>
          <w:szCs w:val="28"/>
          <w:lang w:val="bg-BG"/>
        </w:rPr>
        <w:t>.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5E6F8B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гаранцион</w:t>
      </w:r>
      <w:r w:rsidR="005E6F8B">
        <w:rPr>
          <w:rFonts w:ascii="Times New Roman" w:hAnsi="Times New Roman"/>
          <w:sz w:val="24"/>
          <w:szCs w:val="28"/>
          <w:lang w:val="bg-BG"/>
        </w:rPr>
        <w:t>ни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срок</w:t>
      </w:r>
      <w:r w:rsidR="005E6F8B">
        <w:rPr>
          <w:rFonts w:ascii="Times New Roman" w:hAnsi="Times New Roman"/>
          <w:sz w:val="24"/>
          <w:szCs w:val="28"/>
          <w:lang w:val="bg-BG"/>
        </w:rPr>
        <w:t>ове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>
        <w:rPr>
          <w:rFonts w:ascii="Times New Roman" w:hAnsi="Times New Roman"/>
          <w:sz w:val="24"/>
          <w:szCs w:val="28"/>
          <w:lang w:val="bg-BG"/>
        </w:rPr>
        <w:t>н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а изпълнените СМР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конструкции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10 (</w:t>
      </w:r>
      <w:proofErr w:type="spellStart"/>
      <w:r w:rsidRPr="005B57A6">
        <w:rPr>
          <w:rFonts w:ascii="Times New Roman" w:hAnsi="Times New Roman"/>
          <w:sz w:val="24"/>
          <w:szCs w:val="24"/>
        </w:rPr>
        <w:t>десет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видове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довършителни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хидроизолационни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топлоизолационни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звукоизолационни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антикорозионни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машини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табла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структурно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окабеляване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метални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57A6">
        <w:rPr>
          <w:rFonts w:ascii="Times New Roman" w:hAnsi="Times New Roman"/>
          <w:sz w:val="24"/>
          <w:szCs w:val="24"/>
        </w:rPr>
        <w:t>кабелни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скари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закладни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осветителни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осветители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E871F0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електроника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E871F0" w:rsidRPr="00DE01D4" w:rsidRDefault="00E871F0" w:rsidP="00E871F0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871F0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алейни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настилки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(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373F5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871F0">
        <w:rPr>
          <w:rFonts w:ascii="Times New Roman" w:hAnsi="Times New Roman"/>
          <w:sz w:val="24"/>
          <w:szCs w:val="24"/>
          <w:lang w:val="bg-BG"/>
        </w:rPr>
        <w:t>-</w:t>
      </w:r>
      <w:r w:rsidR="00373F5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малък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 5 (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пет</w:t>
      </w:r>
      <w:r w:rsidRPr="00E871F0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E871F0">
        <w:rPr>
          <w:rFonts w:ascii="Times New Roman" w:hAnsi="Times New Roman" w:hint="eastAsia"/>
          <w:sz w:val="24"/>
          <w:szCs w:val="24"/>
          <w:lang w:val="bg-BG"/>
        </w:rPr>
        <w:t>години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Pr="00E871F0">
        <w:rPr>
          <w:rFonts w:ascii="Times New Roman" w:hAnsi="Times New Roman"/>
          <w:sz w:val="24"/>
          <w:szCs w:val="24"/>
          <w:lang w:val="bg-BG"/>
        </w:rPr>
        <w:t>;</w:t>
      </w:r>
    </w:p>
    <w:p w:rsidR="00E871F0" w:rsidRPr="00DE01D4" w:rsidRDefault="00E871F0" w:rsidP="00DE01D4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E01D4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храстова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тревисто</w:t>
      </w:r>
      <w:r w:rsidRPr="00DE01D4">
        <w:rPr>
          <w:rFonts w:ascii="Times New Roman" w:hAnsi="Times New Roman"/>
          <w:sz w:val="24"/>
          <w:szCs w:val="24"/>
          <w:lang w:val="bg-BG"/>
        </w:rPr>
        <w:t>-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цветна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растителност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DE01D4">
        <w:rPr>
          <w:rFonts w:ascii="Times New Roman" w:hAnsi="Times New Roman"/>
          <w:sz w:val="24"/>
          <w:szCs w:val="24"/>
          <w:lang w:val="bg-BG"/>
        </w:rPr>
        <w:t>........................ години</w:t>
      </w:r>
      <w:r w:rsidR="00DE01D4" w:rsidRPr="00DE01D4">
        <w:rPr>
          <w:rFonts w:ascii="Times New Roman" w:hAnsi="Times New Roman" w:hint="eastAsia"/>
          <w:sz w:val="24"/>
          <w:szCs w:val="24"/>
          <w:lang w:val="bg-BG"/>
        </w:rPr>
        <w:t xml:space="preserve"> </w:t>
      </w:r>
      <w:r w:rsidR="00DE01D4">
        <w:rPr>
          <w:rFonts w:ascii="Times New Roman" w:hAnsi="Times New Roman"/>
          <w:sz w:val="24"/>
          <w:szCs w:val="24"/>
          <w:lang w:val="en-GB"/>
        </w:rPr>
        <w:t>(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DE01D4">
        <w:rPr>
          <w:rFonts w:ascii="Times New Roman" w:hAnsi="Times New Roman"/>
          <w:sz w:val="24"/>
          <w:szCs w:val="24"/>
          <w:lang w:val="bg-BG"/>
        </w:rPr>
        <w:t>-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малък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DE01D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E01D4">
        <w:rPr>
          <w:rFonts w:ascii="Times New Roman" w:hAnsi="Times New Roman"/>
          <w:sz w:val="24"/>
          <w:szCs w:val="24"/>
          <w:lang w:val="bg-BG"/>
        </w:rPr>
        <w:t>(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една</w:t>
      </w:r>
      <w:r w:rsidRPr="00DE01D4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E01D4">
        <w:rPr>
          <w:rFonts w:ascii="Times New Roman" w:hAnsi="Times New Roman" w:hint="eastAsia"/>
          <w:sz w:val="24"/>
          <w:szCs w:val="24"/>
          <w:lang w:val="bg-BG"/>
        </w:rPr>
        <w:t>година</w:t>
      </w:r>
      <w:r w:rsidR="00DE01D4">
        <w:rPr>
          <w:rFonts w:ascii="Times New Roman" w:hAnsi="Times New Roman"/>
          <w:sz w:val="24"/>
          <w:szCs w:val="24"/>
          <w:lang w:val="en-GB"/>
        </w:rPr>
        <w:t>)</w:t>
      </w:r>
      <w:r w:rsidR="00DE01D4">
        <w:rPr>
          <w:rFonts w:ascii="Times New Roman" w:hAnsi="Times New Roman"/>
          <w:sz w:val="24"/>
          <w:szCs w:val="24"/>
          <w:lang w:val="bg-BG"/>
        </w:rPr>
        <w:t>;</w:t>
      </w:r>
    </w:p>
    <w:p w:rsidR="00A11EDC" w:rsidRPr="00294108" w:rsidRDefault="00E871F0" w:rsidP="00DE01D4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94108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строително</w:t>
      </w:r>
      <w:r w:rsidRPr="00294108">
        <w:rPr>
          <w:rFonts w:ascii="Times New Roman" w:hAnsi="Times New Roman"/>
          <w:sz w:val="24"/>
          <w:szCs w:val="24"/>
          <w:lang w:val="bg-BG"/>
        </w:rPr>
        <w:t>-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монтажни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свързани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с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реконструиране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тревните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площи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DE01D4" w:rsidRPr="00294108">
        <w:rPr>
          <w:rFonts w:ascii="Times New Roman" w:hAnsi="Times New Roman"/>
          <w:sz w:val="24"/>
          <w:szCs w:val="24"/>
          <w:lang w:val="en-GB"/>
        </w:rPr>
        <w:t xml:space="preserve">……………….. </w:t>
      </w:r>
      <w:r w:rsidR="00DE01D4" w:rsidRPr="00294108">
        <w:rPr>
          <w:rFonts w:ascii="Times New Roman" w:hAnsi="Times New Roman"/>
          <w:sz w:val="24"/>
          <w:szCs w:val="24"/>
          <w:lang w:val="bg-BG"/>
        </w:rPr>
        <w:t xml:space="preserve">месеца </w:t>
      </w:r>
      <w:r w:rsidR="00DE01D4" w:rsidRPr="00294108">
        <w:rPr>
          <w:rFonts w:ascii="Times New Roman" w:hAnsi="Times New Roman"/>
          <w:sz w:val="24"/>
          <w:szCs w:val="24"/>
          <w:lang w:val="en-GB"/>
        </w:rPr>
        <w:t>(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до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пълно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склопяване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тревостоя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т</w:t>
      </w:r>
      <w:r w:rsidRPr="00294108">
        <w:rPr>
          <w:rFonts w:ascii="Times New Roman" w:hAnsi="Times New Roman"/>
          <w:sz w:val="24"/>
          <w:szCs w:val="24"/>
          <w:lang w:val="bg-BG"/>
        </w:rPr>
        <w:t>.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минимум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до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трето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косене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след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привършване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работите</w:t>
      </w:r>
      <w:r w:rsidR="00DE01D4" w:rsidRPr="00294108">
        <w:rPr>
          <w:rFonts w:ascii="Times New Roman" w:hAnsi="Times New Roman"/>
          <w:sz w:val="24"/>
          <w:szCs w:val="24"/>
          <w:lang w:val="bg-BG"/>
        </w:rPr>
        <w:t xml:space="preserve">, но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не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94108">
        <w:rPr>
          <w:rFonts w:ascii="Times New Roman" w:hAnsi="Times New Roman"/>
          <w:sz w:val="24"/>
          <w:szCs w:val="24"/>
          <w:lang w:val="bg-BG"/>
        </w:rPr>
        <w:t>-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малък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DE01D4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94108">
        <w:rPr>
          <w:rFonts w:ascii="Times New Roman" w:hAnsi="Times New Roman"/>
          <w:sz w:val="24"/>
          <w:szCs w:val="24"/>
          <w:lang w:val="bg-BG"/>
        </w:rPr>
        <w:t>5 (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пет</w:t>
      </w:r>
      <w:r w:rsidRPr="00294108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94108">
        <w:rPr>
          <w:rFonts w:ascii="Times New Roman" w:hAnsi="Times New Roman" w:hint="eastAsia"/>
          <w:sz w:val="24"/>
          <w:szCs w:val="24"/>
          <w:lang w:val="bg-BG"/>
        </w:rPr>
        <w:t>месеца</w:t>
      </w:r>
      <w:r w:rsidR="00DE01D4" w:rsidRPr="00294108">
        <w:rPr>
          <w:rFonts w:ascii="Times New Roman" w:hAnsi="Times New Roman"/>
          <w:sz w:val="24"/>
          <w:szCs w:val="24"/>
          <w:lang w:val="en-GB"/>
        </w:rPr>
        <w:t>)</w:t>
      </w:r>
      <w:r w:rsidRPr="00294108">
        <w:rPr>
          <w:rFonts w:ascii="Times New Roman" w:hAnsi="Times New Roman"/>
          <w:sz w:val="24"/>
          <w:szCs w:val="24"/>
          <w:lang w:val="bg-BG"/>
        </w:rPr>
        <w:t>.</w:t>
      </w:r>
    </w:p>
    <w:p w:rsidR="00E97492" w:rsidRDefault="007C25A8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Гаранционните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започват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текат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датата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</w:t>
      </w:r>
      <w:r w:rsidR="00A067BF">
        <w:rPr>
          <w:rFonts w:ascii="Times New Roman" w:hAnsi="Times New Roman"/>
          <w:sz w:val="24"/>
          <w:szCs w:val="24"/>
        </w:rPr>
        <w:t>лзване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на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строежа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от</w:t>
      </w:r>
      <w:proofErr w:type="spellEnd"/>
      <w:r w:rsidR="00A06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7BF">
        <w:rPr>
          <w:rFonts w:ascii="Times New Roman" w:hAnsi="Times New Roman"/>
          <w:sz w:val="24"/>
          <w:szCs w:val="24"/>
        </w:rPr>
        <w:t>съответния</w:t>
      </w:r>
      <w:bookmarkStart w:id="0" w:name="_GoBack"/>
      <w:bookmarkEnd w:id="0"/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компетентен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орган</w:t>
      </w:r>
      <w:proofErr w:type="spellEnd"/>
      <w:r w:rsidRPr="005B57A6">
        <w:rPr>
          <w:rFonts w:ascii="Times New Roman" w:hAnsi="Times New Roman"/>
          <w:sz w:val="24"/>
          <w:szCs w:val="24"/>
          <w:lang w:val="ru-RU"/>
        </w:rPr>
        <w:t xml:space="preserve"> съгласно чл. 20, ал.3 на </w:t>
      </w:r>
      <w:proofErr w:type="spellStart"/>
      <w:r w:rsidRPr="005B57A6">
        <w:rPr>
          <w:rFonts w:ascii="Times New Roman" w:hAnsi="Times New Roman"/>
          <w:sz w:val="24"/>
          <w:szCs w:val="24"/>
        </w:rPr>
        <w:t>Наредба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31.07.2003 г.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въвеждане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гаранционни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изпълнени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обекти</w:t>
      </w:r>
      <w:proofErr w:type="spellEnd"/>
      <w:r w:rsidR="003F15C1" w:rsidRPr="00667886">
        <w:rPr>
          <w:rFonts w:ascii="Times New Roman" w:hAnsi="Times New Roman"/>
          <w:sz w:val="24"/>
          <w:szCs w:val="28"/>
          <w:lang w:val="bg-BG"/>
        </w:rPr>
        <w:t>.</w:t>
      </w:r>
    </w:p>
    <w:p w:rsidR="00E97492" w:rsidRPr="00E97492" w:rsidRDefault="00DF2B55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3F259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BC2551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="00DE01D4" w:rsidRPr="00BC255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BC2551">
        <w:rPr>
          <w:rFonts w:ascii="Times New Roman" w:hAnsi="Times New Roman"/>
          <w:sz w:val="24"/>
          <w:szCs w:val="24"/>
          <w:lang w:val="en-GB"/>
        </w:rPr>
        <w:t>строително-монтажните</w:t>
      </w:r>
      <w:proofErr w:type="spellEnd"/>
      <w:r w:rsidR="00DE01D4" w:rsidRPr="00BC255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BC2551">
        <w:rPr>
          <w:rFonts w:ascii="Times New Roman" w:hAnsi="Times New Roman"/>
          <w:sz w:val="24"/>
          <w:szCs w:val="24"/>
          <w:lang w:val="en-GB"/>
        </w:rPr>
        <w:t>работи</w:t>
      </w:r>
      <w:proofErr w:type="spellEnd"/>
      <w:r w:rsidR="00DE01D4" w:rsidRPr="00BC2551"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 w:rsidR="00DE01D4" w:rsidRPr="00BC2551">
        <w:rPr>
          <w:rFonts w:ascii="Times New Roman" w:hAnsi="Times New Roman"/>
          <w:sz w:val="24"/>
          <w:szCs w:val="24"/>
          <w:lang w:val="en-GB"/>
        </w:rPr>
        <w:t>реконструираните</w:t>
      </w:r>
      <w:proofErr w:type="spellEnd"/>
      <w:r w:rsidR="00DE01D4" w:rsidRPr="00BC255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BC2551">
        <w:rPr>
          <w:rFonts w:ascii="Times New Roman" w:hAnsi="Times New Roman"/>
          <w:sz w:val="24"/>
          <w:szCs w:val="24"/>
          <w:lang w:val="en-GB"/>
        </w:rPr>
        <w:t>зони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, </w:t>
      </w:r>
      <w:r w:rsidR="002319C9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3F259C">
        <w:rPr>
          <w:rFonts w:ascii="Times New Roman" w:hAnsi="Times New Roman"/>
          <w:sz w:val="24"/>
          <w:szCs w:val="24"/>
        </w:rPr>
        <w:t>и</w:t>
      </w:r>
      <w:r w:rsidR="002319C9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работоспособност</w:t>
      </w:r>
      <w:r w:rsidR="00F33EAC">
        <w:rPr>
          <w:rFonts w:ascii="Times New Roman" w:hAnsi="Times New Roman"/>
          <w:sz w:val="24"/>
          <w:szCs w:val="24"/>
        </w:rPr>
        <w:t>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lastRenderedPageBreak/>
        <w:t>включително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</w:t>
      </w:r>
      <w:r w:rsidR="00DE01D4">
        <w:rPr>
          <w:rFonts w:ascii="Times New Roman" w:hAnsi="Times New Roman"/>
          <w:sz w:val="24"/>
          <w:szCs w:val="24"/>
        </w:rPr>
        <w:t>ълната</w:t>
      </w:r>
      <w:proofErr w:type="spellEnd"/>
      <w:r w:rsidR="00DE0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>
        <w:rPr>
          <w:rFonts w:ascii="Times New Roman" w:hAnsi="Times New Roman"/>
          <w:sz w:val="24"/>
          <w:szCs w:val="24"/>
        </w:rPr>
        <w:t>им</w:t>
      </w:r>
      <w:proofErr w:type="spellEnd"/>
      <w:r w:rsidR="00DE0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E01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01D4">
        <w:rPr>
          <w:rFonts w:ascii="Times New Roman" w:hAnsi="Times New Roman"/>
          <w:sz w:val="24"/>
          <w:szCs w:val="24"/>
        </w:rPr>
        <w:t>обем</w:t>
      </w:r>
      <w:proofErr w:type="spellEnd"/>
      <w:r w:rsidR="00DE01D4">
        <w:rPr>
          <w:rFonts w:ascii="Times New Roman" w:hAnsi="Times New Roman"/>
          <w:sz w:val="24"/>
          <w:szCs w:val="24"/>
          <w:lang w:val="bg-BG"/>
        </w:rPr>
        <w:t>.</w:t>
      </w:r>
      <w:r w:rsidR="00E9749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Всички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E97492" w:rsidRPr="003F259C">
        <w:rPr>
          <w:rFonts w:ascii="Times New Roman" w:hAnsi="Times New Roman"/>
          <w:sz w:val="24"/>
          <w:szCs w:val="24"/>
        </w:rPr>
        <w:t>др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>.,</w:t>
      </w:r>
      <w:proofErr w:type="gram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се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от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r w:rsidR="00E97492">
        <w:rPr>
          <w:rFonts w:ascii="Times New Roman" w:hAnsi="Times New Roman"/>
          <w:sz w:val="24"/>
          <w:szCs w:val="24"/>
          <w:lang w:val="bg-BG"/>
        </w:rPr>
        <w:t>мен (нас)</w:t>
      </w:r>
      <w:r w:rsidR="00E97492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като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възложителя</w:t>
      </w:r>
      <w:r w:rsidR="00E97492">
        <w:rPr>
          <w:rFonts w:ascii="Times New Roman" w:hAnsi="Times New Roman"/>
          <w:sz w:val="24"/>
          <w:szCs w:val="24"/>
        </w:rPr>
        <w:t>т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не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дължи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за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това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никакви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3F259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E97492" w:rsidRPr="003F259C">
        <w:rPr>
          <w:rFonts w:ascii="Times New Roman" w:hAnsi="Times New Roman"/>
          <w:sz w:val="24"/>
          <w:szCs w:val="24"/>
        </w:rPr>
        <w:t>.</w:t>
      </w:r>
    </w:p>
    <w:p w:rsidR="00E7495B" w:rsidRPr="00DE01D4" w:rsidRDefault="00DF2B55" w:rsidP="00DE01D4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DE01D4">
        <w:rPr>
          <w:rFonts w:ascii="Times New Roman" w:hAnsi="Times New Roman"/>
          <w:sz w:val="24"/>
          <w:szCs w:val="24"/>
          <w:lang w:val="bg-BG"/>
        </w:rPr>
        <w:t>.2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и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r w:rsidR="00E7495B" w:rsidRPr="002058A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2058A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2058A8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2058A8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</w:p>
    <w:p w:rsidR="00B92796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667886" w:rsidRDefault="00DE01D4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94108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294108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В случай че бъда(ем) избран(и) за изпълнител на обществената</w:t>
      </w:r>
      <w:r w:rsidR="00EF5CAE" w:rsidRPr="00294108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гаранциите за авансови плащания, предвидени в раздел </w:t>
      </w:r>
      <w:r w:rsidR="006F1696" w:rsidRPr="00294108">
        <w:rPr>
          <w:rFonts w:ascii="Times New Roman" w:hAnsi="Times New Roman"/>
          <w:sz w:val="24"/>
          <w:szCs w:val="24"/>
        </w:rPr>
        <w:t>I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>.Б от документацията, т. 7.1., б. „а“</w:t>
      </w:r>
      <w:r w:rsidR="00E97492" w:rsidRPr="00294108">
        <w:rPr>
          <w:rFonts w:ascii="Times New Roman" w:hAnsi="Times New Roman"/>
          <w:sz w:val="24"/>
          <w:szCs w:val="24"/>
          <w:lang w:val="bg-BG"/>
        </w:rPr>
        <w:t xml:space="preserve"> и „б“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294108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7E3AEF" w:rsidRPr="00667886" w:rsidRDefault="007E3AEF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667886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DF2B55"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F2B55"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E7548F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BC603A" w:rsidRPr="00667886" w:rsidRDefault="00BC603A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737905" w:rsidRDefault="00737905" w:rsidP="007948E5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864BA" w:rsidRPr="00667886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F2B55">
        <w:rPr>
          <w:rFonts w:ascii="Times New Roman" w:hAnsi="Times New Roman"/>
          <w:sz w:val="24"/>
          <w:szCs w:val="24"/>
          <w:lang w:val="bg-BG"/>
        </w:rPr>
        <w:t>9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E7548F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E7548F">
        <w:rPr>
          <w:rFonts w:ascii="Times New Roman" w:hAnsi="Times New Roman"/>
          <w:sz w:val="20"/>
          <w:szCs w:val="20"/>
          <w:lang w:val="bg-BG" w:eastAsia="en-US"/>
        </w:rPr>
        <w:t>*</w:t>
      </w:r>
      <w:r w:rsidR="00E7548F" w:rsidRPr="00E7548F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8864BA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11" w:rsidRDefault="00C16811">
      <w:pPr>
        <w:spacing w:line="240" w:lineRule="auto"/>
      </w:pPr>
      <w:r>
        <w:separator/>
      </w:r>
    </w:p>
  </w:endnote>
  <w:endnote w:type="continuationSeparator" w:id="0">
    <w:p w:rsidR="00C16811" w:rsidRDefault="00C1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168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A067BF">
      <w:rPr>
        <w:rStyle w:val="PageNumber"/>
        <w:rFonts w:ascii="Times New Roman" w:hAnsi="Times New Roman"/>
        <w:noProof/>
        <w:sz w:val="20"/>
        <w:szCs w:val="20"/>
      </w:rPr>
      <w:t>3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C16811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11" w:rsidRDefault="00C16811">
      <w:pPr>
        <w:spacing w:line="240" w:lineRule="auto"/>
      </w:pPr>
      <w:r>
        <w:separator/>
      </w:r>
    </w:p>
  </w:footnote>
  <w:footnote w:type="continuationSeparator" w:id="0">
    <w:p w:rsidR="00C16811" w:rsidRDefault="00C1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347C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7AAA"/>
    <w:rsid w:val="00113627"/>
    <w:rsid w:val="001145DF"/>
    <w:rsid w:val="00126F5A"/>
    <w:rsid w:val="00130071"/>
    <w:rsid w:val="001370E7"/>
    <w:rsid w:val="001673F4"/>
    <w:rsid w:val="001706C2"/>
    <w:rsid w:val="00176A05"/>
    <w:rsid w:val="00197D9E"/>
    <w:rsid w:val="001A49DE"/>
    <w:rsid w:val="001A5340"/>
    <w:rsid w:val="001C0495"/>
    <w:rsid w:val="001D3B3C"/>
    <w:rsid w:val="001D44E4"/>
    <w:rsid w:val="001E0C31"/>
    <w:rsid w:val="001F363E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93F50"/>
    <w:rsid w:val="00294108"/>
    <w:rsid w:val="00296870"/>
    <w:rsid w:val="0029730C"/>
    <w:rsid w:val="002C23E6"/>
    <w:rsid w:val="002C720C"/>
    <w:rsid w:val="002D4F41"/>
    <w:rsid w:val="002D703A"/>
    <w:rsid w:val="002F2518"/>
    <w:rsid w:val="00304DC9"/>
    <w:rsid w:val="00311473"/>
    <w:rsid w:val="00314C34"/>
    <w:rsid w:val="003308F1"/>
    <w:rsid w:val="0034053A"/>
    <w:rsid w:val="0035395F"/>
    <w:rsid w:val="003650F1"/>
    <w:rsid w:val="00373F54"/>
    <w:rsid w:val="003768D9"/>
    <w:rsid w:val="0038088A"/>
    <w:rsid w:val="003933A7"/>
    <w:rsid w:val="0039659B"/>
    <w:rsid w:val="003A03B0"/>
    <w:rsid w:val="003D03B1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C25C1"/>
    <w:rsid w:val="005C507F"/>
    <w:rsid w:val="005D6068"/>
    <w:rsid w:val="005E691B"/>
    <w:rsid w:val="005E6F8B"/>
    <w:rsid w:val="005F6488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93779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C3EAF"/>
    <w:rsid w:val="006D6EF6"/>
    <w:rsid w:val="006E3376"/>
    <w:rsid w:val="006E5050"/>
    <w:rsid w:val="006E577D"/>
    <w:rsid w:val="006F1696"/>
    <w:rsid w:val="00731142"/>
    <w:rsid w:val="007350F2"/>
    <w:rsid w:val="00737905"/>
    <w:rsid w:val="00751B60"/>
    <w:rsid w:val="00757A84"/>
    <w:rsid w:val="00775963"/>
    <w:rsid w:val="00793050"/>
    <w:rsid w:val="007948E5"/>
    <w:rsid w:val="007A3F8F"/>
    <w:rsid w:val="007A6ED0"/>
    <w:rsid w:val="007C25A8"/>
    <w:rsid w:val="007C7B29"/>
    <w:rsid w:val="007D559C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46A5E"/>
    <w:rsid w:val="008864BA"/>
    <w:rsid w:val="00894563"/>
    <w:rsid w:val="00897273"/>
    <w:rsid w:val="008B03AA"/>
    <w:rsid w:val="008C053C"/>
    <w:rsid w:val="008C276C"/>
    <w:rsid w:val="008E602E"/>
    <w:rsid w:val="008F4F7F"/>
    <w:rsid w:val="00907C5C"/>
    <w:rsid w:val="009205C5"/>
    <w:rsid w:val="00931B10"/>
    <w:rsid w:val="009427C0"/>
    <w:rsid w:val="00943BDD"/>
    <w:rsid w:val="00944E00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067BF"/>
    <w:rsid w:val="00A11EDC"/>
    <w:rsid w:val="00A31D99"/>
    <w:rsid w:val="00A4511D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510B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463A6"/>
    <w:rsid w:val="00C65F24"/>
    <w:rsid w:val="00CA76D2"/>
    <w:rsid w:val="00CB44ED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3D5D"/>
    <w:rsid w:val="00D40CB3"/>
    <w:rsid w:val="00D60E4E"/>
    <w:rsid w:val="00D7442D"/>
    <w:rsid w:val="00D909A7"/>
    <w:rsid w:val="00D909F9"/>
    <w:rsid w:val="00DB320E"/>
    <w:rsid w:val="00DB34EE"/>
    <w:rsid w:val="00DB38C8"/>
    <w:rsid w:val="00DC0507"/>
    <w:rsid w:val="00DC66E1"/>
    <w:rsid w:val="00DD5F13"/>
    <w:rsid w:val="00DE01D4"/>
    <w:rsid w:val="00DE4239"/>
    <w:rsid w:val="00DE477C"/>
    <w:rsid w:val="00DE6156"/>
    <w:rsid w:val="00DE7B29"/>
    <w:rsid w:val="00DF2B55"/>
    <w:rsid w:val="00E03C5E"/>
    <w:rsid w:val="00E065A4"/>
    <w:rsid w:val="00E14DA8"/>
    <w:rsid w:val="00E406DE"/>
    <w:rsid w:val="00E4089A"/>
    <w:rsid w:val="00E45048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33EAC"/>
    <w:rsid w:val="00F45499"/>
    <w:rsid w:val="00F45E1E"/>
    <w:rsid w:val="00F57380"/>
    <w:rsid w:val="00F71DBB"/>
    <w:rsid w:val="00F742AD"/>
    <w:rsid w:val="00F77D55"/>
    <w:rsid w:val="00F80933"/>
    <w:rsid w:val="00F86F2C"/>
    <w:rsid w:val="00F903AE"/>
    <w:rsid w:val="00F94006"/>
    <w:rsid w:val="00FA63EB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5263-A39B-48F6-BF66-AED1F0BB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6</cp:revision>
  <cp:lastPrinted>2019-09-20T07:25:00Z</cp:lastPrinted>
  <dcterms:created xsi:type="dcterms:W3CDTF">2019-09-17T20:15:00Z</dcterms:created>
  <dcterms:modified xsi:type="dcterms:W3CDTF">2019-10-02T06:29:00Z</dcterms:modified>
</cp:coreProperties>
</file>